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2931" w14:textId="0B908A29" w:rsidR="0094414E" w:rsidRDefault="0048526A" w:rsidP="0094414E">
      <w:pPr>
        <w:spacing w:line="276" w:lineRule="exact"/>
        <w:jc w:val="center"/>
        <w:rPr>
          <w:b/>
          <w:spacing w:val="-2"/>
          <w:sz w:val="24"/>
          <w:szCs w:val="24"/>
          <w:lang w:val="es-PE"/>
        </w:rPr>
      </w:pPr>
      <w:r w:rsidRPr="0048526A">
        <w:rPr>
          <w:b/>
          <w:spacing w:val="-2"/>
          <w:sz w:val="24"/>
          <w:szCs w:val="24"/>
        </w:rPr>
        <w:t>Determinación de distribuciones de dosis en braquiterapia HDR con Co-60 para cáncer de cuello uterino mediante simulación MCNP y dosimetría OSL</w:t>
      </w:r>
      <w:r>
        <w:rPr>
          <w:b/>
          <w:spacing w:val="-2"/>
          <w:sz w:val="24"/>
          <w:szCs w:val="24"/>
        </w:rPr>
        <w:t>.</w:t>
      </w:r>
    </w:p>
    <w:p w14:paraId="0E2DB44E" w14:textId="77777777" w:rsidR="009551D5" w:rsidRDefault="009551D5">
      <w:pPr>
        <w:pStyle w:val="Textoindependiente"/>
        <w:rPr>
          <w:b/>
          <w:sz w:val="24"/>
        </w:rPr>
      </w:pPr>
    </w:p>
    <w:p w14:paraId="6E1E0402" w14:textId="69F99A57" w:rsidR="0094414E" w:rsidRPr="00AB4629" w:rsidRDefault="0094414E" w:rsidP="0094414E">
      <w:pPr>
        <w:pStyle w:val="Prrafodelista"/>
        <w:spacing w:line="276" w:lineRule="exact"/>
        <w:ind w:left="649" w:firstLine="0"/>
        <w:rPr>
          <w:vertAlign w:val="superscript"/>
        </w:rPr>
      </w:pPr>
      <w:r w:rsidRPr="002E039C">
        <w:t>Sanchez, A</w:t>
      </w:r>
      <w:r w:rsidRPr="0094414E">
        <w:rPr>
          <w:vertAlign w:val="superscript"/>
        </w:rPr>
        <w:t>1</w:t>
      </w:r>
      <w:r w:rsidR="00AB4629">
        <w:rPr>
          <w:vertAlign w:val="superscript"/>
        </w:rPr>
        <w:t>,</w:t>
      </w:r>
      <w:r w:rsidR="0014726E">
        <w:rPr>
          <w:vertAlign w:val="superscript"/>
        </w:rPr>
        <w:t>2, *</w:t>
      </w:r>
      <w:r w:rsidR="00AB4629">
        <w:t xml:space="preserve">, </w:t>
      </w:r>
      <w:r w:rsidR="00E80F6E">
        <w:t>Márquez</w:t>
      </w:r>
      <w:r w:rsidR="00AB4629">
        <w:t xml:space="preserve">, </w:t>
      </w:r>
      <w:r w:rsidR="00E80F6E">
        <w:t>J</w:t>
      </w:r>
      <w:r w:rsidR="00E80F6E">
        <w:rPr>
          <w:vertAlign w:val="superscript"/>
        </w:rPr>
        <w:t>1</w:t>
      </w:r>
      <w:r w:rsidR="00AB4629">
        <w:t xml:space="preserve">, </w:t>
      </w:r>
      <w:r w:rsidR="00E80F6E">
        <w:t>Parre</w:t>
      </w:r>
      <w:proofErr w:type="spellStart"/>
      <w:r w:rsidR="00E80F6E">
        <w:rPr>
          <w:lang w:val="es-419"/>
        </w:rPr>
        <w:t>ño</w:t>
      </w:r>
      <w:proofErr w:type="spellEnd"/>
      <w:r w:rsidR="00AB4629">
        <w:t xml:space="preserve">, </w:t>
      </w:r>
      <w:r w:rsidR="00E80F6E">
        <w:t>C</w:t>
      </w:r>
      <w:r w:rsidR="00E80F6E">
        <w:rPr>
          <w:vertAlign w:val="superscript"/>
        </w:rPr>
        <w:t>2</w:t>
      </w:r>
    </w:p>
    <w:p w14:paraId="3F0736A5" w14:textId="39AA45E8" w:rsidR="009551D5" w:rsidRPr="003D5CB0" w:rsidRDefault="005B6D24" w:rsidP="00916051">
      <w:pPr>
        <w:pStyle w:val="Prrafodelista"/>
        <w:numPr>
          <w:ilvl w:val="0"/>
          <w:numId w:val="1"/>
        </w:numPr>
        <w:tabs>
          <w:tab w:val="left" w:pos="180"/>
        </w:tabs>
        <w:ind w:right="17"/>
        <w:jc w:val="center"/>
      </w:pPr>
      <w:r>
        <w:t>Departamento de Radioterapia</w:t>
      </w:r>
      <w:r w:rsidR="007340A2">
        <w:t>,</w:t>
      </w:r>
      <w:r>
        <w:t xml:space="preserve"> </w:t>
      </w:r>
      <w:r w:rsidRPr="005B6D24">
        <w:t>Instituto Nacional de Enfermedades Neoplásicas</w:t>
      </w:r>
      <w:r w:rsidR="000A3DEE">
        <w:t xml:space="preserve"> (</w:t>
      </w:r>
      <w:r>
        <w:t>INEN</w:t>
      </w:r>
      <w:r w:rsidR="000A3DEE">
        <w:t>)</w:t>
      </w:r>
      <w:r w:rsidR="006E4965" w:rsidRPr="00916051">
        <w:t>,</w:t>
      </w:r>
      <w:r w:rsidR="006E4965" w:rsidRPr="00916051">
        <w:rPr>
          <w:spacing w:val="-1"/>
        </w:rPr>
        <w:t xml:space="preserve"> </w:t>
      </w:r>
      <w:r w:rsidRPr="005B6D24">
        <w:rPr>
          <w:spacing w:val="-1"/>
        </w:rPr>
        <w:t>Av. Angamos Este 2520, Surquillo</w:t>
      </w:r>
      <w:r>
        <w:rPr>
          <w:spacing w:val="-1"/>
        </w:rPr>
        <w:t xml:space="preserve">, </w:t>
      </w:r>
      <w:r w:rsidR="0014726E">
        <w:rPr>
          <w:spacing w:val="-1"/>
        </w:rPr>
        <w:t xml:space="preserve">Lima, </w:t>
      </w:r>
      <w:r>
        <w:rPr>
          <w:spacing w:val="-1"/>
        </w:rPr>
        <w:t>Perú</w:t>
      </w:r>
      <w:r w:rsidR="0014726E">
        <w:rPr>
          <w:spacing w:val="-1"/>
        </w:rPr>
        <w:t>.</w:t>
      </w:r>
    </w:p>
    <w:p w14:paraId="3F86FE4C" w14:textId="26502264" w:rsidR="003D5CB0" w:rsidRPr="00916051" w:rsidRDefault="003D5CB0" w:rsidP="003D5CB0">
      <w:pPr>
        <w:pStyle w:val="Prrafodelista"/>
        <w:numPr>
          <w:ilvl w:val="0"/>
          <w:numId w:val="1"/>
        </w:numPr>
        <w:tabs>
          <w:tab w:val="left" w:pos="180"/>
        </w:tabs>
        <w:jc w:val="center"/>
      </w:pPr>
      <w:r>
        <w:t xml:space="preserve">Laboratorio de </w:t>
      </w:r>
      <w:r w:rsidR="0048526A">
        <w:t>Dosimetría</w:t>
      </w:r>
      <w:r>
        <w:t xml:space="preserve">, </w:t>
      </w:r>
      <w:r w:rsidRPr="003D5CB0">
        <w:t xml:space="preserve">Aleph </w:t>
      </w:r>
      <w:proofErr w:type="spellStart"/>
      <w:r w:rsidRPr="003D5CB0">
        <w:t>Group</w:t>
      </w:r>
      <w:proofErr w:type="spellEnd"/>
      <w:r w:rsidRPr="003D5CB0">
        <w:t xml:space="preserve"> &amp; Asociados SAC</w:t>
      </w:r>
      <w:r w:rsidRPr="00916051">
        <w:rPr>
          <w:lang w:val="es-PE" w:eastAsia="es-ES_tradnl"/>
        </w:rPr>
        <w:t xml:space="preserve">, </w:t>
      </w:r>
      <w:r w:rsidRPr="003D5CB0">
        <w:rPr>
          <w:lang w:eastAsia="es-ES_tradnl"/>
        </w:rPr>
        <w:t>Av. Rafael Escardó 154, San Miguel 15087</w:t>
      </w:r>
      <w:r>
        <w:rPr>
          <w:lang w:val="es-PE" w:eastAsia="es-ES_tradnl"/>
        </w:rPr>
        <w:t>, Lima, Perú</w:t>
      </w:r>
      <w:r w:rsidR="0014726E">
        <w:rPr>
          <w:lang w:val="es-PE" w:eastAsia="es-ES_tradnl"/>
        </w:rPr>
        <w:t>.</w:t>
      </w:r>
    </w:p>
    <w:p w14:paraId="1C8783F9" w14:textId="77777777" w:rsidR="007340A2" w:rsidRPr="00916051" w:rsidRDefault="007340A2" w:rsidP="007340A2">
      <w:pPr>
        <w:pStyle w:val="Prrafodelista"/>
        <w:tabs>
          <w:tab w:val="left" w:pos="180"/>
        </w:tabs>
        <w:ind w:firstLine="0"/>
        <w:jc w:val="left"/>
      </w:pPr>
    </w:p>
    <w:p w14:paraId="40AF6BE1" w14:textId="729A3A5D" w:rsidR="0094414E" w:rsidRDefault="00431656" w:rsidP="0094414E">
      <w:pPr>
        <w:jc w:val="center"/>
      </w:pPr>
      <w:hyperlink r:id="rId7" w:history="1">
        <w:r w:rsidRPr="006A5C46">
          <w:rPr>
            <w:rStyle w:val="Hipervnculo"/>
          </w:rPr>
          <w:t>absanchezp@unac.edu.pe</w:t>
        </w:r>
      </w:hyperlink>
    </w:p>
    <w:p w14:paraId="3DA25A43" w14:textId="77777777" w:rsidR="00431656" w:rsidRPr="002E039C" w:rsidRDefault="00431656" w:rsidP="0094414E">
      <w:pPr>
        <w:jc w:val="center"/>
      </w:pPr>
    </w:p>
    <w:p w14:paraId="2D4441E9" w14:textId="77777777" w:rsidR="007340A2" w:rsidRPr="008D343B" w:rsidRDefault="007340A2" w:rsidP="007340A2">
      <w:pPr>
        <w:pStyle w:val="Textoindependiente"/>
        <w:spacing w:before="1"/>
        <w:jc w:val="center"/>
        <w:rPr>
          <w:szCs w:val="20"/>
        </w:rPr>
      </w:pPr>
    </w:p>
    <w:p w14:paraId="02A73BD9" w14:textId="30EC1C17" w:rsidR="009551D5" w:rsidRPr="008D343B" w:rsidRDefault="006E4965">
      <w:pPr>
        <w:ind w:left="102"/>
        <w:rPr>
          <w:szCs w:val="20"/>
        </w:rPr>
      </w:pPr>
      <w:r w:rsidRPr="008D343B">
        <w:rPr>
          <w:szCs w:val="20"/>
        </w:rPr>
        <w:t>Código</w:t>
      </w:r>
      <w:r w:rsidRPr="008D343B">
        <w:rPr>
          <w:spacing w:val="-6"/>
          <w:szCs w:val="20"/>
        </w:rPr>
        <w:t xml:space="preserve"> </w:t>
      </w:r>
      <w:r w:rsidRPr="008D343B">
        <w:rPr>
          <w:szCs w:val="20"/>
        </w:rPr>
        <w:t>ORCID</w:t>
      </w:r>
      <w:r w:rsidR="00916051">
        <w:rPr>
          <w:szCs w:val="20"/>
        </w:rPr>
        <w:t>:</w:t>
      </w:r>
      <w:r w:rsidRPr="008D343B">
        <w:rPr>
          <w:spacing w:val="-3"/>
          <w:szCs w:val="20"/>
        </w:rPr>
        <w:t xml:space="preserve"> </w:t>
      </w:r>
      <w:hyperlink r:id="rId8" w:history="1">
        <w:r w:rsidR="0094414E" w:rsidRPr="002E5B8A">
          <w:rPr>
            <w:rStyle w:val="Hipervnculo"/>
          </w:rPr>
          <w:t>https://orcid.org/0000-0002-9622-9306</w:t>
        </w:r>
      </w:hyperlink>
      <w:r w:rsidR="0094414E">
        <w:t xml:space="preserve"> </w:t>
      </w:r>
      <w:r w:rsidR="007340A2">
        <w:t xml:space="preserve"> </w:t>
      </w:r>
    </w:p>
    <w:p w14:paraId="40B55EC1" w14:textId="77777777" w:rsidR="009551D5" w:rsidRDefault="009551D5">
      <w:pPr>
        <w:pStyle w:val="Textoindependiente"/>
        <w:rPr>
          <w:sz w:val="24"/>
        </w:rPr>
      </w:pPr>
    </w:p>
    <w:p w14:paraId="225C3795" w14:textId="2339E80E" w:rsidR="00916051" w:rsidRDefault="00916051" w:rsidP="002256C2">
      <w:pPr>
        <w:rPr>
          <w:b/>
          <w:spacing w:val="-2"/>
          <w:sz w:val="24"/>
          <w:szCs w:val="24"/>
        </w:rPr>
      </w:pPr>
      <w:r w:rsidRPr="002256C2">
        <w:rPr>
          <w:b/>
          <w:spacing w:val="-2"/>
          <w:sz w:val="24"/>
          <w:szCs w:val="24"/>
        </w:rPr>
        <w:t>Resumen</w:t>
      </w:r>
      <w:r w:rsidR="00431656" w:rsidRPr="002256C2">
        <w:rPr>
          <w:b/>
          <w:spacing w:val="-2"/>
          <w:sz w:val="24"/>
          <w:szCs w:val="24"/>
        </w:rPr>
        <w:t>:</w:t>
      </w:r>
    </w:p>
    <w:p w14:paraId="70E54E76" w14:textId="77777777" w:rsidR="005319AB" w:rsidRPr="002256C2" w:rsidRDefault="005319AB" w:rsidP="002256C2">
      <w:pPr>
        <w:rPr>
          <w:b/>
          <w:spacing w:val="-2"/>
          <w:sz w:val="24"/>
          <w:szCs w:val="24"/>
        </w:rPr>
      </w:pPr>
    </w:p>
    <w:p w14:paraId="0DEBB80E" w14:textId="1BE4FCFD" w:rsidR="0048526A" w:rsidRDefault="005319AB" w:rsidP="0048526A">
      <w:pPr>
        <w:pStyle w:val="Textoindependiente"/>
        <w:jc w:val="both"/>
        <w:rPr>
          <w:sz w:val="24"/>
          <w:szCs w:val="24"/>
        </w:rPr>
      </w:pPr>
      <w:r w:rsidRPr="005319AB">
        <w:rPr>
          <w:sz w:val="24"/>
          <w:szCs w:val="24"/>
        </w:rPr>
        <w:t xml:space="preserve">La braquiterapia de alta tasa de dosis con Co-60 para cáncer de cuello uterino requiere verificación independiente de las distribuciones de dosis calculadas por el sistema de planificación SagiPlan®, basado en el formalismo TG-43, debido a sus limitaciones geométricas y la ausencia de condiciones reales de dispersión. El objetivo fue determinar las distribuciones de dosis en braquiterapia HDR mediante simulaciones con MCNP y mediciones experimentales con dosímetros OSL, evaluando la exactitud dosimétrica del TPS. Se construyó un maniquí cilíndrico simulando condiciones clínicas reales, incorporando dosímetros OSL NanoDot™ ubicados a 1 cm del eje central y a 6.5 cm de altura. Se realizaron tres irradiaciones con una fuente de Co-60 mediante el sistema HDR </w:t>
      </w:r>
      <w:proofErr w:type="spellStart"/>
      <w:r w:rsidRPr="005319AB">
        <w:rPr>
          <w:sz w:val="24"/>
          <w:szCs w:val="24"/>
        </w:rPr>
        <w:t>SagiNova</w:t>
      </w:r>
      <w:proofErr w:type="spellEnd"/>
      <w:r w:rsidRPr="005319AB">
        <w:rPr>
          <w:sz w:val="24"/>
          <w:szCs w:val="24"/>
        </w:rPr>
        <w:t>®, planificando 2 Gy con SagiPlan® (versión 2.1.3). Paralelamente, se modeló el experimento en MCNP replicando la geometría y condiciones de irradiación. Los resultados mostraron que las mediciones OSL y las simulaciones MCNP presentan concordancia con las dosis del TPS, con discrepancias del 5 % respecto a los OSL y del 3 % frente al sistema de planificación. Se concluye que SagiPlan® reproduce consistentemente las distribuciones de dosis y que la combinación de simulación Monte Carlo y dosimetría OSL constituye un método robusto de verificación dosimétrica independiente.</w:t>
      </w:r>
    </w:p>
    <w:p w14:paraId="7A2C5AEA" w14:textId="77777777" w:rsidR="005319AB" w:rsidRPr="0048526A" w:rsidRDefault="005319AB" w:rsidP="0048526A">
      <w:pPr>
        <w:pStyle w:val="Textoindependiente"/>
        <w:jc w:val="both"/>
        <w:rPr>
          <w:sz w:val="24"/>
          <w:szCs w:val="24"/>
        </w:rPr>
      </w:pPr>
    </w:p>
    <w:p w14:paraId="5DDE2F9F" w14:textId="181CC528" w:rsidR="00F67BCA" w:rsidRDefault="0048526A" w:rsidP="0048526A">
      <w:pPr>
        <w:pStyle w:val="Textoindependiente"/>
        <w:jc w:val="both"/>
        <w:rPr>
          <w:lang w:val="es-PE"/>
        </w:rPr>
      </w:pPr>
      <w:r w:rsidRPr="0048526A">
        <w:rPr>
          <w:b/>
          <w:bCs/>
          <w:sz w:val="24"/>
          <w:szCs w:val="24"/>
        </w:rPr>
        <w:t>Palabras clave:</w:t>
      </w:r>
      <w:r w:rsidRPr="0048526A">
        <w:rPr>
          <w:sz w:val="24"/>
          <w:szCs w:val="24"/>
        </w:rPr>
        <w:t xml:space="preserve"> Braquiterapia HDR, Co-60, SagiPlan®, MCNP, dosimetría OSL.</w:t>
      </w:r>
      <w:r w:rsidR="0094414E" w:rsidRPr="002256C2">
        <w:rPr>
          <w:sz w:val="24"/>
          <w:szCs w:val="24"/>
        </w:rPr>
        <w:t xml:space="preserve"> </w:t>
      </w:r>
    </w:p>
    <w:p w14:paraId="399A9F77" w14:textId="64AB022C" w:rsidR="00F67BCA" w:rsidRDefault="00F67BCA">
      <w:pPr>
        <w:rPr>
          <w:lang w:val="es-PE"/>
        </w:rPr>
      </w:pPr>
      <w:r>
        <w:rPr>
          <w:lang w:val="es-PE"/>
        </w:rPr>
        <w:br w:type="page"/>
      </w:r>
    </w:p>
    <w:p w14:paraId="3C12FF71" w14:textId="77777777" w:rsidR="00F67BCA" w:rsidRDefault="00F67BCA" w:rsidP="000A3DEE">
      <w:pPr>
        <w:pStyle w:val="Textoindependiente"/>
        <w:jc w:val="both"/>
        <w:rPr>
          <w:lang w:val="es-PE"/>
        </w:rPr>
      </w:pPr>
    </w:p>
    <w:p w14:paraId="2372C996" w14:textId="77777777" w:rsidR="00E83663" w:rsidRDefault="00E83663">
      <w:pPr>
        <w:pStyle w:val="Textoindependiente"/>
        <w:spacing w:before="33"/>
        <w:rPr>
          <w:sz w:val="20"/>
        </w:rPr>
      </w:pPr>
    </w:p>
    <w:p w14:paraId="2316F4DE" w14:textId="77777777" w:rsidR="0094414E" w:rsidRPr="00957269" w:rsidRDefault="0094414E" w:rsidP="0094414E">
      <w:pPr>
        <w:rPr>
          <w:b/>
        </w:rPr>
      </w:pPr>
      <w:r w:rsidRPr="00957269">
        <w:rPr>
          <w:b/>
        </w:rPr>
        <w:t>Figura 1</w:t>
      </w:r>
    </w:p>
    <w:p w14:paraId="42BCAA36" w14:textId="77777777" w:rsidR="0094414E" w:rsidRDefault="0094414E" w:rsidP="0094414E"/>
    <w:p w14:paraId="5ADAB0FB" w14:textId="78C7909E" w:rsidR="0094414E" w:rsidRPr="00957269" w:rsidRDefault="00F1701C" w:rsidP="0094414E">
      <w:pPr>
        <w:jc w:val="both"/>
        <w:rPr>
          <w:i/>
          <w:lang w:val="es-PE"/>
        </w:rPr>
      </w:pPr>
      <w:r>
        <w:rPr>
          <w:i/>
        </w:rPr>
        <w:t>Distribución de dosis</w:t>
      </w:r>
      <w:r w:rsidR="0094414E" w:rsidRPr="00957269">
        <w:rPr>
          <w:i/>
          <w:lang w:val="es-PE"/>
        </w:rPr>
        <w:t>.</w:t>
      </w:r>
    </w:p>
    <w:p w14:paraId="4B591427" w14:textId="77777777" w:rsidR="000A3DEE" w:rsidRDefault="000A3DEE" w:rsidP="002F0BE8">
      <w:pPr>
        <w:rPr>
          <w:i/>
          <w:iCs/>
          <w:sz w:val="20"/>
          <w:szCs w:val="20"/>
        </w:rPr>
      </w:pPr>
    </w:p>
    <w:p w14:paraId="1060FA29" w14:textId="2B1D78C5" w:rsidR="000A3DEE" w:rsidRDefault="00672C16" w:rsidP="000A3DEE">
      <w:pPr>
        <w:jc w:val="center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 wp14:anchorId="5B012242" wp14:editId="78E2AD40">
            <wp:extent cx="5529580" cy="5193030"/>
            <wp:effectExtent l="0" t="0" r="0" b="7620"/>
            <wp:docPr id="12682977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5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D890" w14:textId="39E110EE" w:rsidR="0094414E" w:rsidRPr="00957269" w:rsidRDefault="0094414E" w:rsidP="0094414E">
      <w:pPr>
        <w:pStyle w:val="Prrafodelista"/>
        <w:ind w:left="0" w:hanging="11"/>
        <w:jc w:val="both"/>
        <w:rPr>
          <w:rFonts w:eastAsia="Arial"/>
          <w:szCs w:val="24"/>
        </w:rPr>
      </w:pPr>
      <w:r w:rsidRPr="00055EC2">
        <w:rPr>
          <w:i/>
        </w:rPr>
        <w:t>Nota:</w:t>
      </w:r>
      <w:r w:rsidRPr="00055EC2">
        <w:rPr>
          <w:rFonts w:eastAsia="Arial"/>
          <w:bCs/>
          <w:szCs w:val="24"/>
        </w:rPr>
        <w:t xml:space="preserve"> </w:t>
      </w:r>
      <w:r w:rsidRPr="00957269">
        <w:rPr>
          <w:bCs/>
          <w:iCs/>
        </w:rPr>
        <w:t xml:space="preserve">(a) </w:t>
      </w:r>
      <w:r w:rsidR="00F1701C">
        <w:rPr>
          <w:bCs/>
          <w:iCs/>
        </w:rPr>
        <w:t>Distribución de dosis, mediante el método Montecarlo MCNP</w:t>
      </w:r>
      <w:r w:rsidRPr="00957269">
        <w:rPr>
          <w:bCs/>
          <w:iCs/>
        </w:rPr>
        <w:t xml:space="preserve">. (b) </w:t>
      </w:r>
      <w:r w:rsidR="00F1701C">
        <w:rPr>
          <w:bCs/>
          <w:iCs/>
        </w:rPr>
        <w:t>Distribución de dosis, mediante el sistema de tratamiento de planificación (TPS)</w:t>
      </w:r>
      <w:r w:rsidR="00F1701C">
        <w:t>.</w:t>
      </w:r>
      <w:r w:rsidRPr="00957269">
        <w:t xml:space="preserve"> </w:t>
      </w:r>
      <w:r w:rsidR="00672C16">
        <w:t>(c) Distribución de dosis mediante</w:t>
      </w:r>
      <w:r w:rsidR="00672C16" w:rsidRPr="00672C16">
        <w:t xml:space="preserve"> dosímetros nanoDot</w:t>
      </w:r>
      <w:r w:rsidR="00672C16">
        <w:t>.</w:t>
      </w:r>
    </w:p>
    <w:p w14:paraId="77E80E96" w14:textId="77777777" w:rsidR="000A3DEE" w:rsidRPr="003745FD" w:rsidRDefault="000A3DEE" w:rsidP="002F0BE8">
      <w:pPr>
        <w:rPr>
          <w:i/>
          <w:iCs/>
          <w:sz w:val="20"/>
          <w:szCs w:val="20"/>
        </w:rPr>
      </w:pPr>
    </w:p>
    <w:p w14:paraId="5F685D04" w14:textId="77777777" w:rsidR="003745FD" w:rsidRPr="003745FD" w:rsidRDefault="003745FD" w:rsidP="002F0BE8">
      <w:pPr>
        <w:rPr>
          <w:sz w:val="2"/>
          <w:szCs w:val="2"/>
        </w:rPr>
      </w:pPr>
    </w:p>
    <w:p w14:paraId="4FFA6DD8" w14:textId="3B46B975" w:rsidR="0040083F" w:rsidRPr="00AE5EE5" w:rsidRDefault="0040083F" w:rsidP="00AE5EE5">
      <w:pPr>
        <w:jc w:val="both"/>
      </w:pPr>
    </w:p>
    <w:p w14:paraId="59C34440" w14:textId="243F13CF" w:rsidR="00F1701C" w:rsidRPr="00957269" w:rsidRDefault="00F1701C" w:rsidP="00F1701C">
      <w:pPr>
        <w:rPr>
          <w:b/>
        </w:rPr>
      </w:pPr>
      <w:r>
        <w:rPr>
          <w:b/>
        </w:rPr>
        <w:t>Tabla</w:t>
      </w:r>
      <w:r w:rsidRPr="00957269">
        <w:rPr>
          <w:b/>
        </w:rPr>
        <w:t xml:space="preserve"> 1</w:t>
      </w:r>
    </w:p>
    <w:p w14:paraId="331E3BDE" w14:textId="77777777" w:rsidR="00F1701C" w:rsidRDefault="00F1701C" w:rsidP="00F1701C"/>
    <w:p w14:paraId="4629FB0D" w14:textId="7B1C40F7" w:rsidR="001C0C97" w:rsidRPr="00F1701C" w:rsidRDefault="00F1701C" w:rsidP="00F1701C">
      <w:pPr>
        <w:rPr>
          <w:i/>
          <w:lang w:val="es-PE"/>
        </w:rPr>
      </w:pPr>
      <w:r w:rsidRPr="00F1701C">
        <w:rPr>
          <w:i/>
          <w:lang w:val="es-PE"/>
        </w:rPr>
        <w:t>Dosis absorbidas obtenidas por simulación, planificación y experimental.</w:t>
      </w:r>
    </w:p>
    <w:p w14:paraId="4A770450" w14:textId="46FA794B" w:rsidR="001C0C97" w:rsidRDefault="001C0C97">
      <w:pPr>
        <w:pStyle w:val="Textoindependiente"/>
        <w:rPr>
          <w:sz w:val="20"/>
        </w:rPr>
      </w:pPr>
    </w:p>
    <w:p w14:paraId="741774D2" w14:textId="27BD9FD7" w:rsidR="001C0C97" w:rsidRDefault="00F1701C" w:rsidP="00F1701C">
      <w:pPr>
        <w:pStyle w:val="Textoindependiente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D3AC5B0" wp14:editId="5D4B9529">
            <wp:extent cx="4394295" cy="3372929"/>
            <wp:effectExtent l="0" t="0" r="6350" b="0"/>
            <wp:docPr id="1473250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981" cy="337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C97" w:rsidSect="00DC5D97">
      <w:headerReference w:type="default" r:id="rId11"/>
      <w:pgSz w:w="11900" w:h="16850"/>
      <w:pgMar w:top="2002" w:right="1582" w:bottom="278" w:left="1599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B353" w14:textId="77777777" w:rsidR="00920DCF" w:rsidRDefault="00920DCF">
      <w:r>
        <w:separator/>
      </w:r>
    </w:p>
  </w:endnote>
  <w:endnote w:type="continuationSeparator" w:id="0">
    <w:p w14:paraId="1A82B099" w14:textId="77777777" w:rsidR="00920DCF" w:rsidRDefault="0092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9B71" w14:textId="77777777" w:rsidR="00920DCF" w:rsidRDefault="00920DCF">
      <w:r>
        <w:separator/>
      </w:r>
    </w:p>
  </w:footnote>
  <w:footnote w:type="continuationSeparator" w:id="0">
    <w:p w14:paraId="125AE07C" w14:textId="77777777" w:rsidR="00920DCF" w:rsidRDefault="0092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86E1" w14:textId="5869A21F" w:rsidR="009551D5" w:rsidRPr="002256C2" w:rsidRDefault="009551D5" w:rsidP="002256C2">
    <w:pPr>
      <w:pStyle w:val="Encabezado"/>
      <w:jc w:val="cent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6142"/>
    <w:multiLevelType w:val="hybridMultilevel"/>
    <w:tmpl w:val="64C67184"/>
    <w:lvl w:ilvl="0" w:tplc="5C441A5A">
      <w:start w:val="1"/>
      <w:numFmt w:val="decimal"/>
      <w:lvlText w:val="%1"/>
      <w:lvlJc w:val="left"/>
      <w:pPr>
        <w:ind w:left="649" w:hanging="18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vertAlign w:val="superscript"/>
        <w:lang w:val="es-ES" w:eastAsia="en-US" w:bidi="ar-SA"/>
      </w:rPr>
    </w:lvl>
    <w:lvl w:ilvl="1" w:tplc="CC78A2F2">
      <w:numFmt w:val="bullet"/>
      <w:lvlText w:val="•"/>
      <w:lvlJc w:val="left"/>
      <w:pPr>
        <w:ind w:left="1447" w:hanging="180"/>
      </w:pPr>
      <w:rPr>
        <w:rFonts w:hint="default"/>
        <w:lang w:val="es-ES" w:eastAsia="en-US" w:bidi="ar-SA"/>
      </w:rPr>
    </w:lvl>
    <w:lvl w:ilvl="2" w:tplc="935A66AC">
      <w:numFmt w:val="bullet"/>
      <w:lvlText w:val="•"/>
      <w:lvlJc w:val="left"/>
      <w:pPr>
        <w:ind w:left="2255" w:hanging="180"/>
      </w:pPr>
      <w:rPr>
        <w:rFonts w:hint="default"/>
        <w:lang w:val="es-ES" w:eastAsia="en-US" w:bidi="ar-SA"/>
      </w:rPr>
    </w:lvl>
    <w:lvl w:ilvl="3" w:tplc="69AA38FA">
      <w:numFmt w:val="bullet"/>
      <w:lvlText w:val="•"/>
      <w:lvlJc w:val="left"/>
      <w:pPr>
        <w:ind w:left="3063" w:hanging="180"/>
      </w:pPr>
      <w:rPr>
        <w:rFonts w:hint="default"/>
        <w:lang w:val="es-ES" w:eastAsia="en-US" w:bidi="ar-SA"/>
      </w:rPr>
    </w:lvl>
    <w:lvl w:ilvl="4" w:tplc="3E468B70">
      <w:numFmt w:val="bullet"/>
      <w:lvlText w:val="•"/>
      <w:lvlJc w:val="left"/>
      <w:pPr>
        <w:ind w:left="3871" w:hanging="180"/>
      </w:pPr>
      <w:rPr>
        <w:rFonts w:hint="default"/>
        <w:lang w:val="es-ES" w:eastAsia="en-US" w:bidi="ar-SA"/>
      </w:rPr>
    </w:lvl>
    <w:lvl w:ilvl="5" w:tplc="B6740CCC">
      <w:numFmt w:val="bullet"/>
      <w:lvlText w:val="•"/>
      <w:lvlJc w:val="left"/>
      <w:pPr>
        <w:ind w:left="4679" w:hanging="180"/>
      </w:pPr>
      <w:rPr>
        <w:rFonts w:hint="default"/>
        <w:lang w:val="es-ES" w:eastAsia="en-US" w:bidi="ar-SA"/>
      </w:rPr>
    </w:lvl>
    <w:lvl w:ilvl="6" w:tplc="390E3B2E">
      <w:numFmt w:val="bullet"/>
      <w:lvlText w:val="•"/>
      <w:lvlJc w:val="left"/>
      <w:pPr>
        <w:ind w:left="5487" w:hanging="180"/>
      </w:pPr>
      <w:rPr>
        <w:rFonts w:hint="default"/>
        <w:lang w:val="es-ES" w:eastAsia="en-US" w:bidi="ar-SA"/>
      </w:rPr>
    </w:lvl>
    <w:lvl w:ilvl="7" w:tplc="AA0C22F2">
      <w:numFmt w:val="bullet"/>
      <w:lvlText w:val="•"/>
      <w:lvlJc w:val="left"/>
      <w:pPr>
        <w:ind w:left="6295" w:hanging="180"/>
      </w:pPr>
      <w:rPr>
        <w:rFonts w:hint="default"/>
        <w:lang w:val="es-ES" w:eastAsia="en-US" w:bidi="ar-SA"/>
      </w:rPr>
    </w:lvl>
    <w:lvl w:ilvl="8" w:tplc="0FE89026">
      <w:numFmt w:val="bullet"/>
      <w:lvlText w:val="•"/>
      <w:lvlJc w:val="left"/>
      <w:pPr>
        <w:ind w:left="7103" w:hanging="180"/>
      </w:pPr>
      <w:rPr>
        <w:rFonts w:hint="default"/>
        <w:lang w:val="es-ES" w:eastAsia="en-US" w:bidi="ar-SA"/>
      </w:rPr>
    </w:lvl>
  </w:abstractNum>
  <w:num w:numId="1" w16cid:durableId="57405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D5"/>
    <w:rsid w:val="00002C8F"/>
    <w:rsid w:val="00076C1D"/>
    <w:rsid w:val="00076D03"/>
    <w:rsid w:val="0008426C"/>
    <w:rsid w:val="00096E82"/>
    <w:rsid w:val="000A3DEE"/>
    <w:rsid w:val="00133751"/>
    <w:rsid w:val="0014726E"/>
    <w:rsid w:val="001634CF"/>
    <w:rsid w:val="001C0C97"/>
    <w:rsid w:val="001E3B1A"/>
    <w:rsid w:val="00220FFC"/>
    <w:rsid w:val="002256C2"/>
    <w:rsid w:val="0023207C"/>
    <w:rsid w:val="002332A3"/>
    <w:rsid w:val="002557B0"/>
    <w:rsid w:val="002D165E"/>
    <w:rsid w:val="002F0BE8"/>
    <w:rsid w:val="003035EA"/>
    <w:rsid w:val="00306AC8"/>
    <w:rsid w:val="0035775F"/>
    <w:rsid w:val="003745FD"/>
    <w:rsid w:val="003C7BD1"/>
    <w:rsid w:val="003D5CB0"/>
    <w:rsid w:val="0040083F"/>
    <w:rsid w:val="00431656"/>
    <w:rsid w:val="004745C2"/>
    <w:rsid w:val="0048526A"/>
    <w:rsid w:val="004B2A9F"/>
    <w:rsid w:val="00523910"/>
    <w:rsid w:val="005319AB"/>
    <w:rsid w:val="00541171"/>
    <w:rsid w:val="005A5C93"/>
    <w:rsid w:val="005B6D24"/>
    <w:rsid w:val="005C745B"/>
    <w:rsid w:val="005D52D9"/>
    <w:rsid w:val="005E44EE"/>
    <w:rsid w:val="005E7993"/>
    <w:rsid w:val="00672C16"/>
    <w:rsid w:val="00673158"/>
    <w:rsid w:val="00677D57"/>
    <w:rsid w:val="006E4965"/>
    <w:rsid w:val="00704204"/>
    <w:rsid w:val="007340A2"/>
    <w:rsid w:val="0078016C"/>
    <w:rsid w:val="007C0611"/>
    <w:rsid w:val="007C3B4E"/>
    <w:rsid w:val="00826C96"/>
    <w:rsid w:val="008507E3"/>
    <w:rsid w:val="00871F17"/>
    <w:rsid w:val="008D343B"/>
    <w:rsid w:val="008E3BA3"/>
    <w:rsid w:val="009037FF"/>
    <w:rsid w:val="00906955"/>
    <w:rsid w:val="00916051"/>
    <w:rsid w:val="00920DCF"/>
    <w:rsid w:val="0094414E"/>
    <w:rsid w:val="009447D1"/>
    <w:rsid w:val="009551D5"/>
    <w:rsid w:val="00964BD1"/>
    <w:rsid w:val="00975478"/>
    <w:rsid w:val="009A53DC"/>
    <w:rsid w:val="009C7CDC"/>
    <w:rsid w:val="009D3F2D"/>
    <w:rsid w:val="009E25BA"/>
    <w:rsid w:val="009F59BA"/>
    <w:rsid w:val="009F7E35"/>
    <w:rsid w:val="00A31CA7"/>
    <w:rsid w:val="00A77C86"/>
    <w:rsid w:val="00A8273A"/>
    <w:rsid w:val="00A918FC"/>
    <w:rsid w:val="00AB4629"/>
    <w:rsid w:val="00AB6868"/>
    <w:rsid w:val="00AE5EE5"/>
    <w:rsid w:val="00B5024F"/>
    <w:rsid w:val="00BB0C32"/>
    <w:rsid w:val="00BF0444"/>
    <w:rsid w:val="00C45960"/>
    <w:rsid w:val="00C707D2"/>
    <w:rsid w:val="00C73B67"/>
    <w:rsid w:val="00CA2D32"/>
    <w:rsid w:val="00CD0A59"/>
    <w:rsid w:val="00CE1E4F"/>
    <w:rsid w:val="00D02F45"/>
    <w:rsid w:val="00D03FCB"/>
    <w:rsid w:val="00DC5D97"/>
    <w:rsid w:val="00DF1D11"/>
    <w:rsid w:val="00E54BCE"/>
    <w:rsid w:val="00E80F6E"/>
    <w:rsid w:val="00E8243D"/>
    <w:rsid w:val="00E83663"/>
    <w:rsid w:val="00EE734E"/>
    <w:rsid w:val="00F1701C"/>
    <w:rsid w:val="00F364A9"/>
    <w:rsid w:val="00F43FEF"/>
    <w:rsid w:val="00F63F8E"/>
    <w:rsid w:val="00F67BCA"/>
    <w:rsid w:val="00FC5A4A"/>
    <w:rsid w:val="00FD1E37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00748F"/>
  <w15:docId w15:val="{FAA5E3A1-5EAE-4DD0-85C0-90C9C6E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1"/>
    <w:qFormat/>
    <w:pPr>
      <w:ind w:left="180" w:right="13" w:hanging="180"/>
      <w:jc w:val="center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B0C3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0C3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D34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43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34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43B"/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C7BD1"/>
    <w:rPr>
      <w:b/>
      <w:bCs/>
    </w:rPr>
  </w:style>
  <w:style w:type="table" w:styleId="Tablaconcuadrcula">
    <w:name w:val="Table Grid"/>
    <w:basedOn w:val="Tablanormal"/>
    <w:uiPriority w:val="59"/>
    <w:rsid w:val="002F0BE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3B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B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BA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B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BA3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BA3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94414E"/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2F45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622-93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sanchezp@unac.edu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TRABAJO</cp:lastModifiedBy>
  <cp:revision>8</cp:revision>
  <dcterms:created xsi:type="dcterms:W3CDTF">2025-12-11T20:02:00Z</dcterms:created>
  <dcterms:modified xsi:type="dcterms:W3CDTF">2025-12-11T20:43:00Z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2024-11-11T00:00:00Z</vt:filetime>
  </property>
</Properties>
</file>